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6A4434" w:rsidR="006A4434" w:rsidP="00501C9A" w:rsidRDefault="006A4434" w14:paraId="349794A6" wp14:textId="4576CD41">
      <w:pPr>
        <w:jc w:val="both"/>
      </w:pPr>
    </w:p>
    <w:p xmlns:wp14="http://schemas.microsoft.com/office/word/2010/wordml" w:rsidR="005711A4" w:rsidP="00501C9A" w:rsidRDefault="0002242B" w14:paraId="51C4FD57" wp14:textId="77777777">
      <w:pPr>
        <w:jc w:val="both"/>
      </w:pPr>
      <w:r>
        <w:t>El</w:t>
      </w:r>
      <w:r w:rsidR="005711A4">
        <w:t xml:space="preserve"> </w:t>
      </w:r>
      <w:r w:rsidRPr="005711A4" w:rsidR="005711A4">
        <w:rPr>
          <w:b/>
        </w:rPr>
        <w:t>Buzón del Informante</w:t>
      </w:r>
      <w:r>
        <w:t xml:space="preserve"> </w:t>
      </w:r>
      <w:r w:rsidR="005711A4">
        <w:t>es el buzón interno para enviar las comunicaciones descritas en la Ley 2/2023, de 20 de febrero, reguladora de la protección de las personas que informen sobre infracciones normativas y de la lucha contra la corrupción.</w:t>
      </w:r>
    </w:p>
    <w:p xmlns:wp14="http://schemas.microsoft.com/office/word/2010/wordml" w:rsidR="005711A4" w:rsidP="00501C9A" w:rsidRDefault="005711A4" w14:paraId="107A4F7B" wp14:textId="77777777">
      <w:pPr>
        <w:jc w:val="both"/>
      </w:pPr>
      <w:r w:rsidRPr="005711A4">
        <w:rPr>
          <w:b/>
        </w:rPr>
        <w:t xml:space="preserve">¿Para qué sirve? </w:t>
      </w:r>
      <w:r>
        <w:t>Para comunicar infracciones que se hayan detectado en un contexto profesional o laboral.</w:t>
      </w:r>
    </w:p>
    <w:p xmlns:wp14="http://schemas.microsoft.com/office/word/2010/wordml" w:rsidRPr="006A4434" w:rsidR="006A4434" w:rsidP="00501C9A" w:rsidRDefault="00836051" w14:paraId="2511EA4B" wp14:textId="77777777">
      <w:pPr>
        <w:jc w:val="both"/>
      </w:pPr>
      <w:bookmarkStart w:name="_GoBack" w:id="0"/>
      <w:bookmarkEnd w:id="0"/>
      <w:r w:rsidRPr="00836051">
        <w:rPr>
          <w:b/>
        </w:rPr>
        <w:t>¿Qué infracciones se pueden comunicar?</w:t>
      </w:r>
      <w:r>
        <w:t xml:space="preserve"> </w:t>
      </w:r>
      <w:r w:rsidRPr="006A4434" w:rsidR="006A4434">
        <w:t xml:space="preserve">Las infracciones que pueden ser </w:t>
      </w:r>
      <w:r w:rsidR="006A4434">
        <w:t xml:space="preserve">comunicadas </w:t>
      </w:r>
      <w:r w:rsidRPr="006A4434" w:rsidR="006A4434">
        <w:t>abarcan aspectos como infracciones penales, administrativas graves o muy graves, así como determinadas infracciones del Derecho de la Unión Europea.</w:t>
      </w:r>
    </w:p>
    <w:p xmlns:wp14="http://schemas.microsoft.com/office/word/2010/wordml" w:rsidRPr="006A4434" w:rsidR="006A4434" w:rsidP="006963EB" w:rsidRDefault="006A4434" w14:paraId="2C6F173F" wp14:textId="77777777">
      <w:pPr>
        <w:jc w:val="both"/>
      </w:pPr>
      <w:r w:rsidRPr="006A4434">
        <w:rPr>
          <w:b/>
        </w:rPr>
        <w:t>¿Quiénes pueden realizar estas comunicaciones?</w:t>
      </w:r>
      <w:r w:rsidRPr="006A4434">
        <w:t xml:space="preserve"> </w:t>
      </w:r>
      <w:r w:rsidRPr="006A4434" w:rsidR="006963EB">
        <w:t xml:space="preserve">Aquellas personas </w:t>
      </w:r>
      <w:r w:rsidR="006963EB">
        <w:t>trabajadoras que pertenezcan a</w:t>
      </w:r>
      <w:r w:rsidRPr="006A4434" w:rsidR="006963EB">
        <w:t xml:space="preserve"> nuestra organización, colaboradores o </w:t>
      </w:r>
      <w:r w:rsidR="006963EB">
        <w:t xml:space="preserve">que </w:t>
      </w:r>
      <w:r w:rsidRPr="006A4434" w:rsidR="006963EB">
        <w:t xml:space="preserve">trabajen bajo su supervisión, además de </w:t>
      </w:r>
      <w:r w:rsidR="006963EB">
        <w:t>personas vinculada</w:t>
      </w:r>
      <w:r w:rsidRPr="006A4434" w:rsidR="006963EB">
        <w:t xml:space="preserve">s laboralmente en el pasado, voluntarios, </w:t>
      </w:r>
      <w:r w:rsidR="006963EB">
        <w:t>alumnos en prácticas</w:t>
      </w:r>
      <w:r w:rsidRPr="006A4434" w:rsidR="006963EB">
        <w:t>, independientemente de su remuneración.</w:t>
      </w:r>
      <w:r w:rsidR="006963EB">
        <w:t xml:space="preserve"> Las personas que tengan la condición de empleados públicos, los contratistas o cualquier persona que trabaje para o bajo la supervisión y la dirección de contratistas, subcontratistas y proveedores. Las personas vinculadas por una relación laboral ya finalizada, así como aquéllos cuya relación laboral todavía no haya comenzado en los casos en que la información sobre infracciones haya sido obtenida durante el proceso de selección o de negociación precontractual.</w:t>
      </w:r>
      <w:r w:rsidRPr="006963EB" w:rsidR="006963EB">
        <w:t xml:space="preserve"> </w:t>
      </w:r>
    </w:p>
    <w:p xmlns:wp14="http://schemas.microsoft.com/office/word/2010/wordml" w:rsidRPr="006A4434" w:rsidR="006A4434" w:rsidP="00501C9A" w:rsidRDefault="00836051" w14:paraId="74AC8FC9" wp14:textId="77777777">
      <w:pPr>
        <w:jc w:val="both"/>
      </w:pPr>
      <w:r w:rsidRPr="00836051">
        <w:rPr>
          <w:b/>
        </w:rPr>
        <w:t xml:space="preserve">Requisitos a </w:t>
      </w:r>
      <w:proofErr w:type="gramStart"/>
      <w:r w:rsidRPr="00836051">
        <w:rPr>
          <w:b/>
        </w:rPr>
        <w:t>cumplir.-</w:t>
      </w:r>
      <w:proofErr w:type="gramEnd"/>
      <w:r>
        <w:t xml:space="preserve">  </w:t>
      </w:r>
      <w:r w:rsidRPr="006A4434" w:rsidR="006A4434">
        <w:t xml:space="preserve">Es </w:t>
      </w:r>
      <w:r w:rsidR="00E65396">
        <w:t>muy importante</w:t>
      </w:r>
      <w:r w:rsidRPr="006A4434" w:rsidR="006A4434">
        <w:t xml:space="preserve"> cumplir con ciertos requisitos al utilizar </w:t>
      </w:r>
      <w:r w:rsidRPr="00E65396" w:rsidR="006A4434">
        <w:rPr>
          <w:b/>
        </w:rPr>
        <w:t>el Buzón del Informante</w:t>
      </w:r>
      <w:r w:rsidRPr="006A4434" w:rsidR="006A4434">
        <w:t xml:space="preserve">. Es </w:t>
      </w:r>
      <w:r w:rsidR="00E65396">
        <w:t>imprescindible</w:t>
      </w:r>
      <w:r w:rsidRPr="006A4434" w:rsidR="006A4434">
        <w:t xml:space="preserve"> contar con indicios razonables o suficientes que respalden la información comunicada. Se requiere una descripción detallada de los hechos o conductas, junto con la documentación disponible o indicios objetivos para respaldar las pruebas. No se tomarán en consideración comunicaciones genéricas, opiniones infundadas</w:t>
      </w:r>
      <w:r>
        <w:t xml:space="preserve">, de mala fe </w:t>
      </w:r>
      <w:r w:rsidRPr="006A4434" w:rsidR="006A4434">
        <w:t xml:space="preserve">o </w:t>
      </w:r>
      <w:r>
        <w:t xml:space="preserve">con </w:t>
      </w:r>
      <w:r w:rsidRPr="006A4434" w:rsidR="006A4434">
        <w:t>abusos del derecho, y podrían implicar responsabilidad para el comunicante.</w:t>
      </w:r>
    </w:p>
    <w:p xmlns:wp14="http://schemas.microsoft.com/office/word/2010/wordml" w:rsidR="00E65396" w:rsidP="00501C9A" w:rsidRDefault="006A4434" w14:paraId="1556C5D6" wp14:textId="77777777">
      <w:pPr>
        <w:jc w:val="both"/>
      </w:pPr>
      <w:r w:rsidRPr="00E65396">
        <w:rPr>
          <w:b/>
        </w:rPr>
        <w:t>Se garantiza el anonimato en el Buzón del Informante</w:t>
      </w:r>
      <w:r w:rsidRPr="006A4434">
        <w:t xml:space="preserve">, permitiendo tanto comunicaciones anónimas como identificadas. </w:t>
      </w:r>
      <w:r w:rsidRPr="00E65396">
        <w:rPr>
          <w:b/>
        </w:rPr>
        <w:t>El Responsable del Sistema asegurará la confidencialidad de la información</w:t>
      </w:r>
      <w:r w:rsidRPr="006A4434">
        <w:t xml:space="preserve">. </w:t>
      </w:r>
    </w:p>
    <w:p xmlns:wp14="http://schemas.microsoft.com/office/word/2010/wordml" w:rsidR="00E65396" w:rsidP="00501C9A" w:rsidRDefault="006A4434" w14:paraId="13A3A31B" wp14:textId="77777777">
      <w:pPr>
        <w:jc w:val="both"/>
      </w:pPr>
      <w:r w:rsidRPr="00836051">
        <w:rPr>
          <w:b/>
        </w:rPr>
        <w:t>La redacción de la comunicación</w:t>
      </w:r>
      <w:r w:rsidRPr="006A4434">
        <w:t xml:space="preserve"> requerirá la descripción de los hechos, la unidad o área de nuestra </w:t>
      </w:r>
      <w:r w:rsidR="006963EB">
        <w:t>organización</w:t>
      </w:r>
      <w:r w:rsidRPr="006A4434">
        <w:t xml:space="preserve"> afectada, así como indicaciones sobre cómo verificar la información y la posibilidad de adjuntar documentación. </w:t>
      </w:r>
    </w:p>
    <w:p xmlns:wp14="http://schemas.microsoft.com/office/word/2010/wordml" w:rsidRPr="006A4434" w:rsidR="006A4434" w:rsidP="00501C9A" w:rsidRDefault="006A4434" w14:paraId="5A7A1FDB" wp14:textId="77777777">
      <w:pPr>
        <w:jc w:val="both"/>
      </w:pPr>
      <w:r w:rsidRPr="006A4434">
        <w:t xml:space="preserve">Aunque </w:t>
      </w:r>
      <w:r w:rsidRPr="00E65396">
        <w:rPr>
          <w:b/>
        </w:rPr>
        <w:t>el Buzón del Informante</w:t>
      </w:r>
      <w:r w:rsidRPr="006A4434">
        <w:t xml:space="preserve"> es la opción preferida por permitir comunicaciones anónimas y garantizar la confidencialidad, existen otros canales disponibles, como el correo postal, </w:t>
      </w:r>
      <w:r w:rsidR="00E65396">
        <w:t xml:space="preserve">o llamada telefónica a través </w:t>
      </w:r>
      <w:r w:rsidR="00501C9A">
        <w:t>del número de teléfono:</w:t>
      </w:r>
      <w:r w:rsidR="007F320F">
        <w:t xml:space="preserve"> 618.88</w:t>
      </w:r>
      <w:r w:rsidR="00E65396">
        <w:t>0</w:t>
      </w:r>
      <w:r w:rsidR="007F320F">
        <w:t>.</w:t>
      </w:r>
      <w:r w:rsidR="00E65396">
        <w:t>532.</w:t>
      </w:r>
    </w:p>
    <w:p xmlns:wp14="http://schemas.microsoft.com/office/word/2010/wordml" w:rsidRPr="006A4434" w:rsidR="006A4434" w:rsidP="00501C9A" w:rsidRDefault="00297318" w14:paraId="3F3F745D" wp14:textId="77777777">
      <w:pPr>
        <w:jc w:val="both"/>
      </w:pPr>
      <w:r>
        <w:rPr>
          <w:b/>
        </w:rPr>
        <w:t xml:space="preserve">Tratamiento de la </w:t>
      </w:r>
      <w:proofErr w:type="gramStart"/>
      <w:r>
        <w:rPr>
          <w:b/>
        </w:rPr>
        <w:t>comunicación.-</w:t>
      </w:r>
      <w:proofErr w:type="gramEnd"/>
      <w:r w:rsidRPr="006A4434" w:rsidR="006A4434">
        <w:t xml:space="preserve"> Una vez registrada la comunicación, el Responsable del Sistema </w:t>
      </w:r>
      <w:r w:rsidR="00501C9A">
        <w:t>comprobará</w:t>
      </w:r>
      <w:r w:rsidRPr="006A4434" w:rsidR="006A4434">
        <w:t xml:space="preserve"> si los hechos o conductas entran dentro del ámbito de la ley. En caso de ser admitida, se iniciará la fase de instrucción para comprobar la veracidad de los hechos. Se proporcionará información al informante sobre la recepción, admisión y medidas adoptadas durante el proceso.</w:t>
      </w:r>
    </w:p>
    <w:p xmlns:wp14="http://schemas.microsoft.com/office/word/2010/wordml" w:rsidRPr="006A4434" w:rsidR="006A4434" w:rsidP="00501C9A" w:rsidRDefault="006A4434" w14:paraId="59FA4638" wp14:textId="77777777">
      <w:pPr>
        <w:jc w:val="both"/>
      </w:pPr>
      <w:r w:rsidRPr="006A4434">
        <w:t>Es importante destacar que las comunicaciones pueden ser inadmitidas si los hechos no constituyen infracciones, carecen de fundamento, se sospecha su obtención mediante un delito o no presentan información nueva y significativa en comparación con comunicaciones anteriores.</w:t>
      </w:r>
    </w:p>
    <w:p xmlns:wp14="http://schemas.microsoft.com/office/word/2010/wordml" w:rsidRPr="006A4434" w:rsidR="006A4434" w:rsidP="00501C9A" w:rsidRDefault="00297318" w14:paraId="44269B4C" wp14:textId="77777777">
      <w:pPr>
        <w:jc w:val="both"/>
      </w:pPr>
      <w:r w:rsidRPr="00297318">
        <w:rPr>
          <w:b/>
        </w:rPr>
        <w:t xml:space="preserve">Derecho del </w:t>
      </w:r>
      <w:proofErr w:type="gramStart"/>
      <w:r w:rsidRPr="00297318">
        <w:rPr>
          <w:b/>
        </w:rPr>
        <w:t>informante.-</w:t>
      </w:r>
      <w:proofErr w:type="gramEnd"/>
      <w:r>
        <w:t xml:space="preserve"> </w:t>
      </w:r>
      <w:r w:rsidRPr="006A4434" w:rsidR="006A4434">
        <w:t>Los derechos del informante incluyen la protección de su identidad, anonimato si así lo desea, acuse de recibo de la comunicación, información sobre la admisión y los resultados de las investigaciones en un plazo máximo de 3 meses, excepto en casos de especial complejidad.</w:t>
      </w:r>
    </w:p>
    <w:p xmlns:wp14="http://schemas.microsoft.com/office/word/2010/wordml" w:rsidRPr="006A4434" w:rsidR="006A4434" w:rsidP="00501C9A" w:rsidRDefault="00297318" w14:paraId="786C19D4" wp14:textId="77777777">
      <w:pPr>
        <w:jc w:val="both"/>
      </w:pPr>
      <w:r w:rsidRPr="00297318">
        <w:rPr>
          <w:b/>
        </w:rPr>
        <w:t>Información sobre el tratamiento de los datos</w:t>
      </w:r>
      <w:r>
        <w:rPr>
          <w:b/>
        </w:rPr>
        <w:t xml:space="preserve"> </w:t>
      </w:r>
      <w:proofErr w:type="gramStart"/>
      <w:r>
        <w:rPr>
          <w:b/>
        </w:rPr>
        <w:t>personales</w:t>
      </w:r>
      <w:r w:rsidRPr="00297318">
        <w:rPr>
          <w:b/>
        </w:rPr>
        <w:t>.-</w:t>
      </w:r>
      <w:proofErr w:type="gramEnd"/>
      <w:r>
        <w:t xml:space="preserve"> </w:t>
      </w:r>
      <w:r w:rsidRPr="006A4434" w:rsidR="006A4434">
        <w:t>Para el tratamiento de datos personales, se respetará la privacidad y se utilizarán únicamente con fines de investigación y tramitación del procedimiento correspondiente, según lo establecido en la Ley 2/2023, de 20 de febrero. Los datos no serán cedidos a terceros, salvo disposición legal.</w:t>
      </w:r>
    </w:p>
    <w:p xmlns:wp14="http://schemas.microsoft.com/office/word/2010/wordml" w:rsidRPr="006A4434" w:rsidR="006A4434" w:rsidP="00501C9A" w:rsidRDefault="006A4434" w14:paraId="7398CEA6" wp14:textId="77777777">
      <w:pPr>
        <w:jc w:val="both"/>
      </w:pPr>
      <w:r w:rsidRPr="006A4434">
        <w:t>Agradezco su atención a este importante recurso que garantiza la transparencia y el cumplimiento normativo dentro de nuestra organización.</w:t>
      </w:r>
    </w:p>
    <w:p xmlns:wp14="http://schemas.microsoft.com/office/word/2010/wordml" w:rsidR="006A4434" w:rsidP="00501C9A" w:rsidRDefault="006A4434" w14:paraId="7F16B3CB" wp14:textId="77777777">
      <w:pPr>
        <w:jc w:val="both"/>
      </w:pPr>
      <w:r w:rsidRPr="006A4434">
        <w:t>Atentamente,</w:t>
      </w:r>
    </w:p>
    <w:p xmlns:wp14="http://schemas.microsoft.com/office/word/2010/wordml" w:rsidR="00F956FC" w:rsidP="00501C9A" w:rsidRDefault="00F956FC" w14:paraId="672A6659" wp14:textId="77777777">
      <w:pPr>
        <w:jc w:val="both"/>
      </w:pPr>
    </w:p>
    <w:p xmlns:wp14="http://schemas.microsoft.com/office/word/2010/wordml" w:rsidRPr="006963EB" w:rsidR="00415041" w:rsidP="006963EB" w:rsidRDefault="00F956FC" w14:paraId="7ECE5069" wp14:textId="77777777">
      <w:pPr>
        <w:jc w:val="right"/>
        <w:rPr>
          <w:b/>
        </w:rPr>
      </w:pPr>
      <w:r w:rsidRPr="25F5DC24" w:rsidR="00F956FC">
        <w:rPr>
          <w:b w:val="1"/>
          <w:bCs w:val="1"/>
        </w:rPr>
        <w:t>El buzón del informante</w:t>
      </w:r>
    </w:p>
    <w:p w:rsidR="25F5DC24" w:rsidP="25F5DC24" w:rsidRDefault="25F5DC24" w14:paraId="2F4D14EF" w14:textId="51F7631F">
      <w:pPr>
        <w:pStyle w:val="Normal"/>
        <w:jc w:val="right"/>
        <w:rPr>
          <w:b w:val="1"/>
          <w:bCs w:val="1"/>
        </w:rPr>
      </w:pPr>
    </w:p>
    <w:p w:rsidR="29CBF48D" w:rsidP="25F5DC24" w:rsidRDefault="29CBF48D" w14:paraId="0B323859" w14:textId="035D57E5">
      <w:pPr>
        <w:pStyle w:val="Normal"/>
        <w:jc w:val="right"/>
        <w:rPr>
          <w:b w:val="1"/>
          <w:bCs w:val="1"/>
          <w:color w:val="FF0000"/>
        </w:rPr>
      </w:pPr>
    </w:p>
    <w:sectPr w:rsidRPr="006963EB" w:rsidR="00415041">
      <w:pgSz w:w="11906" w:h="16838" w:orient="portrait"/>
      <w:pgMar w:top="1417" w:right="1701" w:bottom="1417" w:left="1701" w:header="708" w:footer="708" w:gutter="0"/>
      <w:cols w:space="708"/>
      <w:docGrid w:linePitch="360"/>
      <w:headerReference w:type="default" r:id="R4073f51a434d4bb6"/>
      <w:footerReference w:type="default" r:id="R405636ccff9047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ight">
    <w:panose1 w:val="020B0400000000000000"/>
    <w:charset w:val="00"/>
    <w:family w:val="swiss"/>
    <w:notTrueType/>
    <w:pitch w:val="variable"/>
    <w:sig w:usb0="800000A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830"/>
      <w:gridCol w:w="2830"/>
      <w:gridCol w:w="2830"/>
    </w:tblGrid>
    <w:tr w:rsidR="25F5DC24" w:rsidTr="25F5DC24" w14:paraId="5D6AD5A4">
      <w:trPr>
        <w:trHeight w:val="300"/>
      </w:trPr>
      <w:tc>
        <w:tcPr>
          <w:tcW w:w="2830" w:type="dxa"/>
          <w:tcMar/>
        </w:tcPr>
        <w:p w:rsidR="25F5DC24" w:rsidP="25F5DC24" w:rsidRDefault="25F5DC24" w14:paraId="2B00F42E" w14:textId="256AB1A6">
          <w:pPr>
            <w:pStyle w:val="Header"/>
            <w:bidi w:val="0"/>
            <w:ind w:left="-115"/>
            <w:jc w:val="left"/>
          </w:pPr>
        </w:p>
      </w:tc>
      <w:tc>
        <w:tcPr>
          <w:tcW w:w="2830" w:type="dxa"/>
          <w:tcMar/>
        </w:tcPr>
        <w:p w:rsidR="25F5DC24" w:rsidP="25F5DC24" w:rsidRDefault="25F5DC24" w14:paraId="0CDF5B89" w14:textId="36EDC6AF">
          <w:pPr>
            <w:pStyle w:val="Header"/>
            <w:bidi w:val="0"/>
            <w:jc w:val="center"/>
          </w:pPr>
        </w:p>
      </w:tc>
      <w:tc>
        <w:tcPr>
          <w:tcW w:w="2830" w:type="dxa"/>
          <w:tcMar/>
        </w:tcPr>
        <w:p w:rsidR="25F5DC24" w:rsidP="25F5DC24" w:rsidRDefault="25F5DC24" w14:paraId="351A93A3" w14:textId="20A97190">
          <w:pPr>
            <w:pStyle w:val="Header"/>
            <w:bidi w:val="0"/>
            <w:ind w:right="-115"/>
            <w:jc w:val="right"/>
          </w:pPr>
        </w:p>
      </w:tc>
    </w:tr>
  </w:tbl>
  <w:p w:rsidR="25F5DC24" w:rsidP="25F5DC24" w:rsidRDefault="25F5DC24" w14:paraId="44B736B8" w14:textId="6340433F">
    <w:pPr>
      <w:pStyle w:val="Footer"/>
      <w:bidi w:val="0"/>
    </w:pPr>
  </w:p>
</w:ftr>
</file>

<file path=word/header.xml><?xml version="1.0" encoding="utf-8"?>
<w:hd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830"/>
      <w:gridCol w:w="2830"/>
      <w:gridCol w:w="2830"/>
    </w:tblGrid>
    <w:tr w:rsidR="25F5DC24" w:rsidTr="25F5DC24" w14:paraId="4DC9DA3D">
      <w:trPr>
        <w:trHeight w:val="300"/>
      </w:trPr>
      <w:tc>
        <w:tcPr>
          <w:tcW w:w="2830" w:type="dxa"/>
          <w:tcMar/>
        </w:tcPr>
        <w:p w:rsidR="25F5DC24" w:rsidP="25F5DC24" w:rsidRDefault="25F5DC24" w14:paraId="68D22BA8" w14:textId="014E1549">
          <w:pPr>
            <w:pStyle w:val="Header"/>
            <w:bidi w:val="0"/>
            <w:ind w:left="-115"/>
            <w:jc w:val="left"/>
          </w:pPr>
        </w:p>
      </w:tc>
      <w:tc>
        <w:tcPr>
          <w:tcW w:w="2830" w:type="dxa"/>
          <w:tcMar/>
        </w:tcPr>
        <w:p w:rsidR="25F5DC24" w:rsidP="25F5DC24" w:rsidRDefault="25F5DC24" w14:paraId="00045E2F" w14:textId="6487C1E5">
          <w:pPr>
            <w:pStyle w:val="Header"/>
            <w:bidi w:val="0"/>
            <w:jc w:val="center"/>
          </w:pPr>
        </w:p>
      </w:tc>
      <w:tc>
        <w:tcPr>
          <w:tcW w:w="2830" w:type="dxa"/>
          <w:tcMar/>
        </w:tcPr>
        <w:p w:rsidR="25F5DC24" w:rsidP="25F5DC24" w:rsidRDefault="25F5DC24" w14:paraId="6228D45E" w14:textId="14006CC4">
          <w:pPr>
            <w:pStyle w:val="Header"/>
            <w:bidi w:val="0"/>
            <w:ind w:right="-115"/>
            <w:jc w:val="right"/>
          </w:pPr>
        </w:p>
      </w:tc>
    </w:tr>
  </w:tbl>
  <w:p w:rsidR="25F5DC24" w:rsidP="25F5DC24" w:rsidRDefault="25F5DC24" w14:paraId="6702B485" w14:textId="6DEDF576">
    <w:pPr>
      <w:pStyle w:val="Header"/>
      <w:bidi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988"/>
    <w:multiLevelType w:val="hybridMultilevel"/>
    <w:tmpl w:val="1D52437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CD"/>
    <w:rsid w:val="0002242B"/>
    <w:rsid w:val="000508B4"/>
    <w:rsid w:val="00297318"/>
    <w:rsid w:val="00415041"/>
    <w:rsid w:val="00455DCC"/>
    <w:rsid w:val="004B6AEC"/>
    <w:rsid w:val="00501C9A"/>
    <w:rsid w:val="005711A4"/>
    <w:rsid w:val="006963EB"/>
    <w:rsid w:val="006A4434"/>
    <w:rsid w:val="006C37CD"/>
    <w:rsid w:val="007F320F"/>
    <w:rsid w:val="007F51C5"/>
    <w:rsid w:val="008259AF"/>
    <w:rsid w:val="00836051"/>
    <w:rsid w:val="00B74096"/>
    <w:rsid w:val="00E65396"/>
    <w:rsid w:val="00E8386E"/>
    <w:rsid w:val="00F956FC"/>
    <w:rsid w:val="25F5DC24"/>
    <w:rsid w:val="29CBF48D"/>
    <w:rsid w:val="4F5FAE75"/>
    <w:rsid w:val="61776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A178"/>
  <w15:chartTrackingRefBased/>
  <w15:docId w15:val="{AECC6220-283D-4DDE-BCD6-6C631D7CD4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C37CD"/>
    <w:pPr>
      <w:spacing w:after="200" w:line="288" w:lineRule="auto"/>
    </w:pPr>
    <w:rPr>
      <w:rFonts w:ascii="Futura Light" w:hAnsi="Futura Light" w:cs="Times New Roman"/>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semiHidden/>
    <w:unhideWhenUsed/>
    <w:rsid w:val="006C37CD"/>
    <w:rPr>
      <w:color w:val="0563C1"/>
      <w:u w:val="single"/>
    </w:rPr>
  </w:style>
  <w:style w:type="paragraph" w:styleId="Prrafodelista">
    <w:name w:val="List Paragraph"/>
    <w:basedOn w:val="Normal"/>
    <w:uiPriority w:val="34"/>
    <w:qFormat/>
    <w:rsid w:val="00415041"/>
    <w:pPr>
      <w:spacing w:after="160" w:line="259" w:lineRule="auto"/>
      <w:ind w:left="720"/>
      <w:contextualSpacing/>
    </w:pPr>
    <w:rPr>
      <w:rFonts w:asciiTheme="minorHAnsi" w:hAnsiTheme="minorHAnsi" w:cstheme="minorBidi"/>
      <w:sz w:val="22"/>
      <w:szCs w:val="22"/>
    </w:rPr>
  </w:style>
  <w:style w:type="paragraph" w:styleId="Textodeglobo">
    <w:name w:val="Balloon Text"/>
    <w:basedOn w:val="Normal"/>
    <w:link w:val="TextodegloboCar"/>
    <w:uiPriority w:val="99"/>
    <w:semiHidden/>
    <w:unhideWhenUsed/>
    <w:rsid w:val="006963EB"/>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6963EB"/>
    <w:rPr>
      <w:rFonts w:ascii="Segoe UI" w:hAnsi="Segoe UI" w:cs="Segoe U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Fuentedeprrafopredeter"/>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Fuentedeprrafopredeter"/>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83965">
      <w:bodyDiv w:val="1"/>
      <w:marLeft w:val="0"/>
      <w:marRight w:val="0"/>
      <w:marTop w:val="0"/>
      <w:marBottom w:val="0"/>
      <w:divBdr>
        <w:top w:val="none" w:sz="0" w:space="0" w:color="auto"/>
        <w:left w:val="none" w:sz="0" w:space="0" w:color="auto"/>
        <w:bottom w:val="none" w:sz="0" w:space="0" w:color="auto"/>
        <w:right w:val="none" w:sz="0" w:space="0" w:color="auto"/>
      </w:divBdr>
    </w:div>
    <w:div w:id="662123363">
      <w:bodyDiv w:val="1"/>
      <w:marLeft w:val="0"/>
      <w:marRight w:val="0"/>
      <w:marTop w:val="0"/>
      <w:marBottom w:val="0"/>
      <w:divBdr>
        <w:top w:val="none" w:sz="0" w:space="0" w:color="auto"/>
        <w:left w:val="none" w:sz="0" w:space="0" w:color="auto"/>
        <w:bottom w:val="none" w:sz="0" w:space="0" w:color="auto"/>
        <w:right w:val="none" w:sz="0" w:space="0" w:color="auto"/>
      </w:divBdr>
    </w:div>
    <w:div w:id="1231118407">
      <w:bodyDiv w:val="1"/>
      <w:marLeft w:val="0"/>
      <w:marRight w:val="0"/>
      <w:marTop w:val="0"/>
      <w:marBottom w:val="0"/>
      <w:divBdr>
        <w:top w:val="none" w:sz="0" w:space="0" w:color="auto"/>
        <w:left w:val="none" w:sz="0" w:space="0" w:color="auto"/>
        <w:bottom w:val="none" w:sz="0" w:space="0" w:color="auto"/>
        <w:right w:val="none" w:sz="0" w:space="0" w:color="auto"/>
      </w:divBdr>
    </w:div>
    <w:div w:id="12600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4073f51a434d4bb6" /><Relationship Type="http://schemas.openxmlformats.org/officeDocument/2006/relationships/footer" Target="footer.xml" Id="R405636ccff904797"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ersonalizado 1">
      <a:majorFont>
        <a:latin typeface="Futura Light"/>
        <a:ea typeface=""/>
        <a:cs typeface=""/>
      </a:majorFont>
      <a:minorFont>
        <a:latin typeface="Futur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F636E47D68B024980F496AD0671A34C" ma:contentTypeVersion="21" ma:contentTypeDescription="Crear nuevo documento." ma:contentTypeScope="" ma:versionID="4fae15884ea5a54abebdc5e752782778">
  <xsd:schema xmlns:xsd="http://www.w3.org/2001/XMLSchema" xmlns:xs="http://www.w3.org/2001/XMLSchema" xmlns:p="http://schemas.microsoft.com/office/2006/metadata/properties" xmlns:ns2="ff178885-24a9-4f24-b793-681615c37fc8" xmlns:ns3="3b4f5c22-b9eb-4129-8721-3be7a99ffe38" targetNamespace="http://schemas.microsoft.com/office/2006/metadata/properties" ma:root="true" ma:fieldsID="dd4656ee6d16f22a94753be0ff7db680" ns2:_="" ns3:_="">
    <xsd:import namespace="ff178885-24a9-4f24-b793-681615c37fc8"/>
    <xsd:import namespace="3b4f5c22-b9eb-4129-8721-3be7a99ffe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78885-24a9-4f24-b793-681615c3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e28b63d-6a65-427c-8020-cbe79d3f1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f5c22-b9eb-4129-8721-3be7a99ffe3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4c808e9-fc9b-48ad-9ed1-78307bed5694}" ma:internalName="TaxCatchAll" ma:showField="CatchAllData" ma:web="3b4f5c22-b9eb-4129-8721-3be7a99ffe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4f5c22-b9eb-4129-8721-3be7a99ffe38" xsi:nil="true"/>
    <lcf76f155ced4ddcb4097134ff3c332f xmlns="ff178885-24a9-4f24-b793-681615c37f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29622C-9860-46DB-9574-BFC5570DA13E}"/>
</file>

<file path=customXml/itemProps2.xml><?xml version="1.0" encoding="utf-8"?>
<ds:datastoreItem xmlns:ds="http://schemas.openxmlformats.org/officeDocument/2006/customXml" ds:itemID="{895C9FD9-795E-44B7-A7FD-C8C799AA6067}"/>
</file>

<file path=customXml/itemProps3.xml><?xml version="1.0" encoding="utf-8"?>
<ds:datastoreItem xmlns:ds="http://schemas.openxmlformats.org/officeDocument/2006/customXml" ds:itemID="{96A19624-9B49-48E4-8DE8-EBB28DE3C8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Administracion1</dc:creator>
  <cp:keywords/>
  <dc:description/>
  <cp:lastModifiedBy>MARIANGEL GUIRADOS CAMPAGNA</cp:lastModifiedBy>
  <cp:revision>11</cp:revision>
  <cp:lastPrinted>2023-11-28T14:55:00Z</cp:lastPrinted>
  <dcterms:created xsi:type="dcterms:W3CDTF">2023-11-27T17:09:00Z</dcterms:created>
  <dcterms:modified xsi:type="dcterms:W3CDTF">2024-07-10T13:22:33Z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0x0101003F636E47D68B024980F496AD0671A34C</vt:lpwstr>
  </property>
  <property fmtid="{D5CDD505-2E9C-101B-9397-08002B2CF9AE}" pid="3" name="MediaServiceImageTags">
    <vt:lpwstr/>
  </property>
</Properties>
</file>