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194C" w14:textId="77777777" w:rsidR="00DB77C2" w:rsidRDefault="00DB77C2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14:paraId="3CD341D1" w14:textId="77777777" w:rsidR="00DB77C2" w:rsidRDefault="00000000">
      <w:pPr>
        <w:pBdr>
          <w:top w:val="nil"/>
          <w:left w:val="nil"/>
          <w:bottom w:val="nil"/>
          <w:right w:val="nil"/>
          <w:between w:val="nil"/>
        </w:pBdr>
        <w:ind w:left="1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C38E917" wp14:editId="3E5302E1">
            <wp:extent cx="5242560" cy="755903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755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90B42A" w14:textId="77777777" w:rsidR="00DB77C2" w:rsidRDefault="00DB77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D5C5C71" w14:textId="77777777" w:rsidR="00DB77C2" w:rsidRDefault="00DB77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70B90B" w14:textId="77777777" w:rsid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bCs/>
          <w:color w:val="000000"/>
        </w:rPr>
      </w:pPr>
      <w:r w:rsidRPr="009D77CD">
        <w:rPr>
          <w:rFonts w:eastAsia="Times New Roman"/>
          <w:b/>
          <w:bCs/>
          <w:color w:val="000000"/>
        </w:rPr>
        <w:t>NOTA DE PRENSA</w:t>
      </w:r>
    </w:p>
    <w:p w14:paraId="48270385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bCs/>
          <w:color w:val="000000"/>
        </w:rPr>
      </w:pPr>
    </w:p>
    <w:p w14:paraId="3077D548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bCs/>
          <w:color w:val="000000"/>
        </w:rPr>
      </w:pPr>
      <w:r w:rsidRPr="009D77CD">
        <w:rPr>
          <w:rFonts w:eastAsia="Times New Roman"/>
          <w:b/>
          <w:bCs/>
          <w:color w:val="000000"/>
          <w:highlight w:val="yellow"/>
        </w:rPr>
        <w:t>AECAD atiende a más de 51.000 personas en 2025 y alerta de la presión sobre el sistema de adicciones en Canarias</w:t>
      </w:r>
    </w:p>
    <w:p w14:paraId="16095B9B" w14:textId="77777777" w:rsid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003DEF6C" w14:textId="343FFE3E" w:rsid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 xml:space="preserve">La AECAD (Asociación de Entidades Canarias de Adicciones), integrada por Proyecto Hombre – Fundación Canaria CESICA, la Asociación de Integración Social Calidad de Vida, San Miguel Adicciones, ANTAD Adicciones, la Asociación Palmera para la Prevención y Tratamiento de Toxicomanías, la Fundación Canaria </w:t>
      </w:r>
      <w:proofErr w:type="spellStart"/>
      <w:r w:rsidRPr="009D77CD">
        <w:rPr>
          <w:rFonts w:eastAsia="Times New Roman"/>
          <w:color w:val="000000"/>
        </w:rPr>
        <w:t>Yrichen</w:t>
      </w:r>
      <w:proofErr w:type="spellEnd"/>
      <w:r w:rsidRPr="009D77CD">
        <w:rPr>
          <w:rFonts w:eastAsia="Times New Roman"/>
          <w:color w:val="000000"/>
        </w:rPr>
        <w:t xml:space="preserve"> y la Fundación ADSIS, presenta los principales resultados de su actividad en 2025.</w:t>
      </w:r>
    </w:p>
    <w:p w14:paraId="66F33C6E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6316A18D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 xml:space="preserve">Durante el último año, la red atendió a </w:t>
      </w:r>
      <w:r w:rsidRPr="009D77CD">
        <w:rPr>
          <w:rFonts w:eastAsia="Times New Roman"/>
          <w:b/>
          <w:bCs/>
          <w:color w:val="000000"/>
        </w:rPr>
        <w:t>51.795 personas</w:t>
      </w:r>
      <w:r w:rsidRPr="009D77CD">
        <w:rPr>
          <w:rFonts w:eastAsia="Times New Roman"/>
          <w:color w:val="000000"/>
        </w:rPr>
        <w:t xml:space="preserve"> en Canarias:</w:t>
      </w:r>
    </w:p>
    <w:p w14:paraId="76409B93" w14:textId="77777777" w:rsidR="009D77CD" w:rsidRPr="009D77CD" w:rsidRDefault="009D77CD" w:rsidP="009D77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b/>
          <w:bCs/>
          <w:color w:val="000000"/>
        </w:rPr>
        <w:t>10.954 personas en programas de tratamiento</w:t>
      </w:r>
    </w:p>
    <w:p w14:paraId="279D6092" w14:textId="1BBED5DE" w:rsidR="009D77CD" w:rsidRDefault="009D77CD" w:rsidP="009D77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b/>
          <w:bCs/>
          <w:color w:val="000000"/>
        </w:rPr>
        <w:t>40.841 personas en programas de prevención</w:t>
      </w:r>
      <w:r w:rsidRPr="009D77CD">
        <w:rPr>
          <w:rFonts w:eastAsia="Times New Roman"/>
          <w:color w:val="000000"/>
        </w:rPr>
        <w:t xml:space="preserve"> </w:t>
      </w:r>
    </w:p>
    <w:p w14:paraId="0029E193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eastAsia="Times New Roman"/>
          <w:color w:val="000000"/>
        </w:rPr>
      </w:pPr>
    </w:p>
    <w:p w14:paraId="5B8E98C7" w14:textId="031F633E" w:rsid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 xml:space="preserve">Esta labor fue desarrollada por </w:t>
      </w:r>
      <w:r w:rsidRPr="009D77CD">
        <w:rPr>
          <w:rFonts w:eastAsia="Times New Roman"/>
          <w:b/>
          <w:bCs/>
          <w:color w:val="000000"/>
        </w:rPr>
        <w:t>276 profesionales y 139 personas voluntarias</w:t>
      </w:r>
      <w:r w:rsidRPr="009D77CD">
        <w:rPr>
          <w:rFonts w:eastAsia="Times New Roman"/>
          <w:color w:val="000000"/>
        </w:rPr>
        <w:t xml:space="preserve">, con un presupuesto global de </w:t>
      </w:r>
      <w:r w:rsidRPr="009D77CD">
        <w:rPr>
          <w:rFonts w:eastAsia="Times New Roman"/>
          <w:b/>
          <w:bCs/>
          <w:color w:val="000000"/>
        </w:rPr>
        <w:t>12,98 millones de euros</w:t>
      </w:r>
      <w:r w:rsidRPr="009D77CD">
        <w:rPr>
          <w:rFonts w:eastAsia="Times New Roman"/>
          <w:color w:val="000000"/>
        </w:rPr>
        <w:t xml:space="preserve">. </w:t>
      </w:r>
    </w:p>
    <w:p w14:paraId="03308A61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0887FF09" w14:textId="662F00D6" w:rsid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 xml:space="preserve">En los recursos de tratamiento se atendió a </w:t>
      </w:r>
      <w:r w:rsidRPr="009D77CD">
        <w:rPr>
          <w:rFonts w:eastAsia="Times New Roman"/>
          <w:b/>
          <w:bCs/>
          <w:color w:val="000000"/>
        </w:rPr>
        <w:t>8.732 hombres y 2.222 mujeres</w:t>
      </w:r>
      <w:r w:rsidRPr="009D77CD">
        <w:rPr>
          <w:rFonts w:eastAsia="Times New Roman"/>
          <w:color w:val="000000"/>
        </w:rPr>
        <w:t xml:space="preserve">, manteniéndose la brecha de género y predominando personas mayores de 35 años, lo que refleja la cronificación de muchas situaciones. </w:t>
      </w:r>
    </w:p>
    <w:p w14:paraId="4BE504CD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644FAF98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 xml:space="preserve">Las principales problemáticas continúan vinculadas al consumo de </w:t>
      </w:r>
      <w:r w:rsidRPr="009D77CD">
        <w:rPr>
          <w:rFonts w:eastAsia="Times New Roman"/>
          <w:b/>
          <w:bCs/>
          <w:color w:val="000000"/>
        </w:rPr>
        <w:t>cocaína, opiáceos, alcohol y cannabis</w:t>
      </w:r>
      <w:r w:rsidRPr="009D77CD">
        <w:rPr>
          <w:rFonts w:eastAsia="Times New Roman"/>
          <w:color w:val="000000"/>
        </w:rPr>
        <w:t>, junto al incremento de psicofármacos y adicciones conductuales.</w:t>
      </w:r>
    </w:p>
    <w:p w14:paraId="60104451" w14:textId="77777777" w:rsidR="009D77CD" w:rsidRPr="009D77CD" w:rsidRDefault="00000000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pict w14:anchorId="478F6FE6">
          <v:rect id="_x0000_i1025" style="width:0;height:1.5pt" o:hralign="center" o:hrstd="t" o:hr="t" fillcolor="#a0a0a0" stroked="f"/>
        </w:pict>
      </w:r>
    </w:p>
    <w:p w14:paraId="6B19B90E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bCs/>
          <w:color w:val="000000"/>
        </w:rPr>
      </w:pPr>
      <w:r w:rsidRPr="009D77CD">
        <w:rPr>
          <w:rFonts w:eastAsia="Times New Roman"/>
          <w:b/>
          <w:bCs/>
          <w:color w:val="000000"/>
        </w:rPr>
        <w:t>Preocupación por el modelo de financiación</w:t>
      </w:r>
    </w:p>
    <w:p w14:paraId="54DD41ED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 xml:space="preserve">AECAD informa de que el modelo de financiación planteado por la administración, basado en </w:t>
      </w:r>
      <w:r w:rsidRPr="009D77CD">
        <w:rPr>
          <w:rFonts w:eastAsia="Times New Roman"/>
          <w:b/>
          <w:bCs/>
          <w:color w:val="000000"/>
          <w:sz w:val="24"/>
          <w:szCs w:val="24"/>
          <w:u w:val="single"/>
        </w:rPr>
        <w:t>convenios</w:t>
      </w:r>
      <w:r w:rsidRPr="009D77CD">
        <w:rPr>
          <w:rFonts w:eastAsia="Times New Roman"/>
          <w:color w:val="000000"/>
        </w:rPr>
        <w:t xml:space="preserve">, está siendo actualmente </w:t>
      </w:r>
      <w:r w:rsidRPr="009D77CD">
        <w:rPr>
          <w:rFonts w:eastAsia="Times New Roman"/>
          <w:b/>
          <w:bCs/>
          <w:color w:val="000000"/>
        </w:rPr>
        <w:t>analizado de forma conjunta por las entidades</w:t>
      </w:r>
      <w:r w:rsidRPr="009D77CD">
        <w:rPr>
          <w:rFonts w:eastAsia="Times New Roman"/>
          <w:color w:val="000000"/>
        </w:rPr>
        <w:t xml:space="preserve">, que han manifestado su </w:t>
      </w:r>
      <w:r w:rsidRPr="009D77CD">
        <w:rPr>
          <w:rFonts w:eastAsia="Times New Roman"/>
          <w:b/>
          <w:bCs/>
          <w:color w:val="000000"/>
        </w:rPr>
        <w:t>desacuerdo tanto en el contenido como en la forma</w:t>
      </w:r>
      <w:r w:rsidRPr="009D77CD">
        <w:rPr>
          <w:rFonts w:eastAsia="Times New Roman"/>
          <w:color w:val="000000"/>
        </w:rPr>
        <w:t>.</w:t>
      </w:r>
    </w:p>
    <w:p w14:paraId="4736F40B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 xml:space="preserve">La red considera imprescindible abrir un </w:t>
      </w:r>
      <w:r w:rsidRPr="009D77CD">
        <w:rPr>
          <w:rFonts w:eastAsia="Times New Roman"/>
          <w:b/>
          <w:bCs/>
          <w:color w:val="000000"/>
        </w:rPr>
        <w:t>proceso real de diálogo y consenso</w:t>
      </w:r>
      <w:r w:rsidRPr="009D77CD">
        <w:rPr>
          <w:rFonts w:eastAsia="Times New Roman"/>
          <w:color w:val="000000"/>
        </w:rPr>
        <w:t>, que permita definir un modelo estable y ajustado a la realidad del sistema.</w:t>
      </w:r>
    </w:p>
    <w:p w14:paraId="223D26C2" w14:textId="77777777" w:rsidR="009D77CD" w:rsidRPr="009D77CD" w:rsidRDefault="00000000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pict w14:anchorId="64C49ABA">
          <v:rect id="_x0000_i1026" style="width:0;height:1.5pt" o:hralign="center" o:hrstd="t" o:hr="t" fillcolor="#a0a0a0" stroked="f"/>
        </w:pict>
      </w:r>
    </w:p>
    <w:p w14:paraId="1F04B55F" w14:textId="77777777" w:rsid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bCs/>
          <w:color w:val="000000"/>
        </w:rPr>
      </w:pPr>
      <w:r w:rsidRPr="009D77CD">
        <w:rPr>
          <w:rFonts w:eastAsia="Times New Roman"/>
          <w:b/>
          <w:bCs/>
          <w:color w:val="000000"/>
        </w:rPr>
        <w:t>Llamamiento institucional</w:t>
      </w:r>
    </w:p>
    <w:p w14:paraId="1914F476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bCs/>
          <w:color w:val="000000"/>
        </w:rPr>
      </w:pPr>
    </w:p>
    <w:p w14:paraId="12AECFA3" w14:textId="77777777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>AECAD insiste en la necesidad de garantizar:</w:t>
      </w:r>
    </w:p>
    <w:p w14:paraId="576056B0" w14:textId="77777777" w:rsidR="009D77CD" w:rsidRPr="009D77CD" w:rsidRDefault="009D77CD" w:rsidP="009D77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 xml:space="preserve">Un </w:t>
      </w:r>
      <w:r w:rsidRPr="009D77CD">
        <w:rPr>
          <w:rFonts w:eastAsia="Times New Roman"/>
          <w:b/>
          <w:bCs/>
          <w:color w:val="000000"/>
        </w:rPr>
        <w:t>modelo de financiación estable y suficiente</w:t>
      </w:r>
    </w:p>
    <w:p w14:paraId="25EA79CD" w14:textId="77777777" w:rsidR="009D77CD" w:rsidRPr="009D77CD" w:rsidRDefault="009D77CD" w:rsidP="009D77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 xml:space="preserve">Una </w:t>
      </w:r>
      <w:r w:rsidRPr="009D77CD">
        <w:rPr>
          <w:rFonts w:eastAsia="Times New Roman"/>
          <w:b/>
          <w:bCs/>
          <w:color w:val="000000"/>
        </w:rPr>
        <w:t>planificación estratégica actualizada</w:t>
      </w:r>
    </w:p>
    <w:p w14:paraId="2F4F7B79" w14:textId="77777777" w:rsidR="009D77CD" w:rsidRPr="009D77CD" w:rsidRDefault="009D77CD" w:rsidP="009D77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color w:val="000000"/>
        </w:rPr>
        <w:t xml:space="preserve">Una mayor </w:t>
      </w:r>
      <w:r w:rsidRPr="009D77CD">
        <w:rPr>
          <w:rFonts w:eastAsia="Times New Roman"/>
          <w:b/>
          <w:bCs/>
          <w:color w:val="000000"/>
        </w:rPr>
        <w:t>coordinación entre sistemas públicos</w:t>
      </w:r>
    </w:p>
    <w:p w14:paraId="2DEDE824" w14:textId="77777777" w:rsid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bCs/>
          <w:color w:val="000000"/>
        </w:rPr>
      </w:pPr>
    </w:p>
    <w:p w14:paraId="1740AE2C" w14:textId="53F30AB0" w:rsidR="009D77CD" w:rsidRPr="009D77CD" w:rsidRDefault="009D77CD" w:rsidP="009D77C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 w:rsidRPr="009D77CD">
        <w:rPr>
          <w:rFonts w:eastAsia="Times New Roman"/>
          <w:b/>
          <w:bCs/>
          <w:color w:val="000000"/>
        </w:rPr>
        <w:t>Sin un marco de financiación adecuado y consensuado, las entidades advierten de que la sostenibilidad del sistema de atención a las adicciones en Canarias y la calidad de la respuesta a miles de personas pueden verse seriamente comprometidas.</w:t>
      </w:r>
    </w:p>
    <w:p w14:paraId="1B5322D6" w14:textId="77777777" w:rsidR="00DB77C2" w:rsidRPr="009D77CD" w:rsidRDefault="00DB77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sectPr w:rsidR="00DB77C2" w:rsidRPr="009D77CD">
      <w:footerReference w:type="default" r:id="rId9"/>
      <w:pgSz w:w="11900" w:h="16840"/>
      <w:pgMar w:top="1600" w:right="1580" w:bottom="280" w:left="15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FB1C" w14:textId="77777777" w:rsidR="001400D5" w:rsidRDefault="001400D5">
      <w:r>
        <w:separator/>
      </w:r>
    </w:p>
  </w:endnote>
  <w:endnote w:type="continuationSeparator" w:id="0">
    <w:p w14:paraId="4277F3E8" w14:textId="77777777" w:rsidR="001400D5" w:rsidRDefault="0014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CA5E7067-1556-414E-A472-6175FF8B9DC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24B7B149-A71A-4538-89E8-70CB5082A21C}"/>
    <w:embedItalic r:id="rId3" w:fontKey="{6A6C4C46-EE24-4EF0-800C-C0F9AA0EBE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10D6CFA-F003-4DA3-9080-6257B41AA2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B2F199F-9DF6-4674-A925-19B84737A5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26A88" w14:textId="77777777" w:rsidR="00DB77C2" w:rsidRDefault="00DB77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81DC244" w14:textId="77777777" w:rsidR="00DB77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CIF G-76797901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C14B" w14:textId="77777777" w:rsidR="001400D5" w:rsidRDefault="001400D5">
      <w:r>
        <w:separator/>
      </w:r>
    </w:p>
  </w:footnote>
  <w:footnote w:type="continuationSeparator" w:id="0">
    <w:p w14:paraId="7C238C88" w14:textId="77777777" w:rsidR="001400D5" w:rsidRDefault="00140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34B2"/>
    <w:multiLevelType w:val="multilevel"/>
    <w:tmpl w:val="A20415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7422E8F"/>
    <w:multiLevelType w:val="multilevel"/>
    <w:tmpl w:val="A77A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44F26"/>
    <w:multiLevelType w:val="multilevel"/>
    <w:tmpl w:val="2FD8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580E76"/>
    <w:multiLevelType w:val="multilevel"/>
    <w:tmpl w:val="D0529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6CB7038"/>
    <w:multiLevelType w:val="multilevel"/>
    <w:tmpl w:val="CAD298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9E922AB"/>
    <w:multiLevelType w:val="multilevel"/>
    <w:tmpl w:val="41D03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77747575">
    <w:abstractNumId w:val="4"/>
  </w:num>
  <w:num w:numId="2" w16cid:durableId="1421750976">
    <w:abstractNumId w:val="3"/>
  </w:num>
  <w:num w:numId="3" w16cid:durableId="14692098">
    <w:abstractNumId w:val="0"/>
  </w:num>
  <w:num w:numId="4" w16cid:durableId="1869757382">
    <w:abstractNumId w:val="5"/>
  </w:num>
  <w:num w:numId="5" w16cid:durableId="1825313437">
    <w:abstractNumId w:val="1"/>
  </w:num>
  <w:num w:numId="6" w16cid:durableId="1162350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7C2"/>
    <w:rsid w:val="000A57B6"/>
    <w:rsid w:val="001400D5"/>
    <w:rsid w:val="009D77CD"/>
    <w:rsid w:val="00B601A1"/>
    <w:rsid w:val="00D67F4F"/>
    <w:rsid w:val="00DB77C2"/>
    <w:rsid w:val="00F9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85DA"/>
  <w15:docId w15:val="{85C65212-4282-4152-941D-016B4888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35"/>
      <w:ind w:left="84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912E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12EE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912E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2EE"/>
    <w:rPr>
      <w:rFonts w:ascii="Arial" w:eastAsia="Arial" w:hAnsi="Arial" w:cs="Arial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9D77C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7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Nwo7uFkJRAQzPPbGFUTO22+fUw==">CgMxLjA4AHIhMURITVJRSV9Ga1hON29OM2ItcTMzOVY3c2lsLUU4eUJp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ADMINISTRACION5</dc:creator>
  <cp:lastModifiedBy>Centrodeestudios1</cp:lastModifiedBy>
  <cp:revision>2</cp:revision>
  <dcterms:created xsi:type="dcterms:W3CDTF">2026-07-20T11:39:00Z</dcterms:created>
  <dcterms:modified xsi:type="dcterms:W3CDTF">2026-07-20T11:39:00Z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2022-09-27T00:00:00Z</vt:filetime>
  </property>
</Properties>
</file>